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E2761"/>
          <w:sz w:val="22"/>
          <w:szCs w:val="22"/>
        </w:rPr>
        <w:t xml:space="preserve">SESSION 8 — HANDS-ON EXERCISE II</w:t>
      </w:r>
    </w:p>
    <w:p>
      <w:pPr>
        <w:spacing w:after="200"/>
      </w:pPr>
      <w:r>
        <w:rPr>
          <w:b/>
          <w:bCs/>
          <w:color w:val="1E2761"/>
          <w:sz w:val="36"/>
          <w:szCs w:val="36"/>
        </w:rPr>
        <w:t xml:space="preserve">Peer-Review &amp; Mock-Review Panel Simulation</w:t>
      </w:r>
    </w:p>
    <w:p>
      <w:pPr>
        <w:spacing w:after="120"/>
      </w:pPr>
      <w:r>
        <w:rPr>
          <w:color w:val="5B6172"/>
        </w:rPr>
        <w:t xml:space="preserve">Use these de-identified proposal excerpts to run the simulation described in the Session 8 agenda. Each excerpt contains a Specific Aims summary, a Methods paragraph, and an Ethics/Human-Subjects paragraph — the same package a real study section reviews.</w:t>
      </w:r>
    </w:p>
    <w:p>
      <w:pPr>
        <w:pBdr>
          <w:bottom w:val="single" w:color="CCCCCC" w:sz="6"/>
        </w:pBdr>
        <w:spacing w:after="200" w:before="100"/>
      </w:pPr>
      <w:r>
        <w:t xml:space="preserve"/>
      </w:r>
    </w:p>
    <w:p>
      <w:pPr>
        <w:pStyle w:val="Heading1"/>
        <w:spacing w:after="120" w:before="240"/>
      </w:pPr>
      <w:r>
        <w:rPr>
          <w:b/>
          <w:bCs/>
          <w:color w:val="1E2761"/>
        </w:rPr>
        <w:t xml:space="preserve">Instructions Recap</w:t>
      </w:r>
    </w:p>
    <w:p>
      <w:pPr>
        <w:spacing w:after="120"/>
      </w:pPr>
      <w:r>
        <w:t xml:space="preserve">Facilitator: assign each panel of 4–5 participants ONE excerpt (Excerpt A or B). Assign roles before reading begins: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 Primary reviewers — prepare a 3-minute oral critique covering each scored criterion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 Secondary reviewer — prepares a shorter critique and notes disagreement with the primary reviewers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 Chair — opens discussion, keeps time, polls scores at the end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Remaining participants — panel members who may ask one clarifying question before scores are polled</w:t>
      </w:r>
    </w:p>
    <w:p>
      <w:pPr>
        <w:spacing w:after="120"/>
      </w:pPr>
      <w:r>
        <w:rPr>
          <w:i/>
          <w:iCs/>
          <w:color w:val="5B6172"/>
        </w:rPr>
        <w:t xml:space="preserve">Protocol timing: Silent reading &amp; scoring (8 min) → Primary critiques (3 min each) → Secondary critique (2 min) → Open discussion (5–7 min) → Final private scoring &amp; chair's tally → Whole-room debrief.</w:t>
      </w:r>
    </w:p>
    <w:p>
      <w:r>
        <w:br w:type="page"/>
      </w:r>
    </w:p>
    <w:p>
      <w:pPr>
        <w:pStyle w:val="Heading1"/>
        <w:spacing w:after="120" w:before="240"/>
      </w:pPr>
      <w:r>
        <w:rPr>
          <w:b/>
          <w:bCs/>
          <w:color w:val="1E2761"/>
        </w:rPr>
        <w:t xml:space="preserve">Proposal Excerpt A</w:t>
      </w:r>
    </w:p>
    <w:p>
      <w:pPr>
        <w:spacing w:after="120"/>
      </w:pPr>
      <w:r>
        <w:rPr>
          <w:i/>
          <w:iCs/>
          <w:color w:val="5B6172"/>
          <w:sz w:val="22"/>
          <w:szCs w:val="22"/>
        </w:rPr>
        <w:t xml:space="preserve">Community-Based Malaria Case Management for Under-Five Children in a High-Transmission Woreda</w:t>
      </w:r>
    </w:p>
    <w:p>
      <w:pPr>
        <w:spacing w:after="60" w:before="160"/>
      </w:pPr>
      <w:r>
        <w:rPr>
          <w:b/>
          <w:bCs/>
          <w:color w:val="1E2761"/>
        </w:rPr>
        <w:t xml:space="preserve">Specific Aims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Aim 1: Determine the proportion of under-five febrile illness episodes correctly triaged and treated by trained health extension workers using rapid diagnostic tests (RDTs) at the community level.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Aim 2: Compare time-to-treatment for confirmed malaria cases under the community-based model versus standard facility-based referral.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Aim 3: Assess caregiver and health-worker acceptability of RDT-guided community case management through mixed-methods interviews.</w:t>
      </w:r>
    </w:p>
    <w:p>
      <w:pPr>
        <w:spacing w:after="60" w:before="160"/>
      </w:pPr>
      <w:r>
        <w:rPr>
          <w:b/>
          <w:bCs/>
          <w:color w:val="1E2761"/>
        </w:rPr>
        <w:t xml:space="preserve">Methods</w:t>
      </w:r>
    </w:p>
    <w:p>
      <w:pPr>
        <w:spacing w:after="120"/>
      </w:pPr>
      <w:r>
        <w:t xml:space="preserve">This is a 12-month prospective cohort study conducted in three kebeles of a high-transmission woreda in Oromia Region. Forty health extension workers will be trained and equipped to perform RDTs and administer first-line antimalarial treatment per national guidelines. All febrile children under five presenting to trained health posts over a six-month enrollment window will be eligible. A structured case-report form will capture RDT result, treatment given, and 7-day follow-up outcome. Time-to-treatment will be compared against a historical facility-referral cohort using the same case definition. A subsample of 20 caregivers and 10 health extension workers will be purposively selected for semi-structured interviews, analyzed thematically. Sample size (n=420 febrile episodes) was calculated to detect a 15-percentage-point improvement in same-day treatment rate with 80% power.</w:t>
      </w:r>
    </w:p>
    <w:p>
      <w:pPr>
        <w:spacing w:after="60" w:before="160"/>
      </w:pPr>
      <w:r>
        <w:rPr>
          <w:b/>
          <w:bCs/>
          <w:color w:val="1E2761"/>
        </w:rPr>
        <w:t xml:space="preserve">Ethics &amp; Human-Subjects Paragraph</w:t>
      </w:r>
    </w:p>
    <w:p>
      <w:pPr>
        <w:spacing w:after="200"/>
      </w:pPr>
      <w:r>
        <w:t xml:space="preserve">The protocol will be submitted to the Oromia Regional Health Bureau Ethics Review Committee and is expected to qualify for expedited review as a minimal-risk quality-improvement/diagnostic-accuracy study. Written informed consent will be obtained from caregivers of all enrolled children, with an assent/verbal-consent script for caregivers who cannot read; consent materials will be translated into Afaan Oromo and back-translated for accuracy. Since some participants are young children, the consent form specifies that decision-making authority rests with the caregiver, and the study will collect no more clinical data than would be gathered under routine care. A data-protection plan de-identifies case-report forms at the point of entry, with the linking key held only by the site coordinator. Because health extension workers are also study personnel, the protocol notes a plan to avoid any perceived pressure on caregivers to enroll, including making clear that non-participation does not affect access to routine care.</w:t>
      </w:r>
    </w:p>
    <w:p>
      <w:pPr>
        <w:spacing w:after="60" w:before="160"/>
      </w:pPr>
      <w:r>
        <w:rPr>
          <w:b/>
          <w:bCs/>
          <w:color w:val="1E2761"/>
        </w:rPr>
        <w:t xml:space="preserve">Panel Scoresheet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400"/>
        <w:gridCol w:w="4700"/>
      </w:tblGrid>
      <w:tr>
        <w:trPr>
          <w:tblHeader/>
        </w:trPr>
        <w:tc>
          <w:tcPr>
            <w:tcW w:type="dxa" w:w="3400"/>
            <w:shd w:fill="1E2761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400"/>
            <w:shd w:fill="1E2761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Score (1–9)</w:t>
            </w:r>
          </w:p>
        </w:tc>
        <w:tc>
          <w:tcPr>
            <w:tcW w:type="dxa" w:w="4700"/>
            <w:shd w:fill="1E2761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Strengths / Weaknesses Note</w:t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Significance / Relevance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Innovation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Approach / Methodology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Investigator(s) &amp; Team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Environment &amp; Resources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Ethics &amp; Human-Subjects Protection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Gender &amp; Inclusion Considerations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Budget Realism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b/>
          <w:bCs/>
          <w:color w:val="1E2761"/>
        </w:rPr>
        <w:t xml:space="preserve">Proposal Excerpt B</w:t>
      </w:r>
    </w:p>
    <w:p>
      <w:pPr>
        <w:spacing w:after="120"/>
      </w:pPr>
      <w:r>
        <w:rPr>
          <w:i/>
          <w:iCs/>
          <w:color w:val="5B6172"/>
          <w:sz w:val="22"/>
          <w:szCs w:val="22"/>
        </w:rPr>
        <w:t xml:space="preserve">A School-Based Intervention to Reduce Anemia Among Adolescent Girls in Two Regional Towns</w:t>
      </w:r>
    </w:p>
    <w:p>
      <w:pPr>
        <w:spacing w:after="60" w:before="160"/>
      </w:pPr>
      <w:r>
        <w:rPr>
          <w:b/>
          <w:bCs/>
          <w:color w:val="1E2761"/>
        </w:rPr>
        <w:t xml:space="preserve">Specific Aims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Aim 1: Measure the change in anemia prevalence among adolescent girls (ages 13–17) following a combined weekly iron-folic acid supplementation and nutrition-education intervention delivered through schools.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Aim 2: Identify household- and school-level barriers to supplementation adherence.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Aim 3: Estimate the incremental cost per anemia case averted to inform scale-up decisions.</w:t>
      </w:r>
    </w:p>
    <w:p>
      <w:pPr>
        <w:spacing w:after="60" w:before="160"/>
      </w:pPr>
      <w:r>
        <w:rPr>
          <w:b/>
          <w:bCs/>
          <w:color w:val="1E2761"/>
        </w:rPr>
        <w:t xml:space="preserve">Methods</w:t>
      </w:r>
    </w:p>
    <w:p>
      <w:pPr>
        <w:spacing w:after="120"/>
      </w:pPr>
      <w:r>
        <w:t xml:space="preserve">A pre-post quasi-experimental design will be implemented across four secondary schools in two regional towns (two intervention, two comparison), enrolling approximately 800 girls. Intervention schools will receive weekly supervised iron-folic acid tablets plus a six-session nutrition curriculum delivered by trained teachers; comparison schools will continue standard health-education content. Hemoglobin will be measured by portable photometer at baseline and endline (16 weeks) by trained nurses blinded to school assignment. Adherence will be tracked through tablet-distribution logs and a monthly self-report checklist. A subset of 12 focus-group discussions with girls, teachers, and parents will explore barriers to adherence, analyzed using a framework approach. Cost data will be collected prospectively (training, commodities, personnel time) and combined with the anemia-reduction estimate to compute cost per case averted, using standard WHO hemoglobin cut-offs to define anemia.</w:t>
      </w:r>
    </w:p>
    <w:p>
      <w:pPr>
        <w:spacing w:after="60" w:before="160"/>
      </w:pPr>
      <w:r>
        <w:rPr>
          <w:b/>
          <w:bCs/>
          <w:color w:val="1E2761"/>
        </w:rPr>
        <w:t xml:space="preserve">Ethics &amp; Human-Subjects Paragraph</w:t>
      </w:r>
    </w:p>
    <w:p>
      <w:pPr>
        <w:spacing w:after="200"/>
      </w:pPr>
      <w:r>
        <w:t xml:space="preserve">Because participants are minors, the protocol requires both parental/guardian written consent and adolescent assent, with age-appropriate assent language reviewed by a school counselor before submission. The application will go first to the university's institutional Research Ethics Review Committee; given that the study involves school-aged minors and a nutritional supplement already on the national essential-medicines list, it is not expected to require National Research Ethics Review Committee (NRERC) review, but the timeline includes a contingency window in case NRERC referral is requested. A data-protection plan restricts hemoglobin and survey data to a coded ID, stored separately from the consent-tracking log. The risk-benefit assessment notes that iron-folic acid supplementation carries low physiological risk at standard dosing but flags a referral pathway to a school nurse or nearby health center for any girl found to have severe anemia (Hb &lt; 8 g/dL) at baseline or endline screening, ensuring clinical benefit is not withheld from any participant regardless of study arm.</w:t>
      </w:r>
    </w:p>
    <w:p>
      <w:pPr>
        <w:spacing w:after="60" w:before="160"/>
      </w:pPr>
      <w:r>
        <w:rPr>
          <w:b/>
          <w:bCs/>
          <w:color w:val="1E2761"/>
        </w:rPr>
        <w:t xml:space="preserve">Panel Scoresheet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400"/>
        <w:gridCol w:w="4700"/>
      </w:tblGrid>
      <w:tr>
        <w:trPr>
          <w:tblHeader/>
        </w:trPr>
        <w:tc>
          <w:tcPr>
            <w:tcW w:type="dxa" w:w="3400"/>
            <w:shd w:fill="1E2761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400"/>
            <w:shd w:fill="1E2761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Score (1–9)</w:t>
            </w:r>
          </w:p>
        </w:tc>
        <w:tc>
          <w:tcPr>
            <w:tcW w:type="dxa" w:w="4700"/>
            <w:shd w:fill="1E2761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Strengths / Weaknesses Note</w:t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Significance / Relevance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Innovation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Approach / Methodology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Investigator(s) &amp; Team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Environment &amp; Resources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Ethics &amp; Human-Subjects Protection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</w:tcPr>
          <w:p>
            <w:r>
              <w:rPr>
                <w:sz w:val="20"/>
                <w:szCs w:val="20"/>
              </w:rPr>
              <w:t xml:space="preserve">Gender &amp; Inclusion Considerations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FFFFF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4F6FC" w:val="clear"/>
          </w:tcPr>
          <w:p>
            <w:r>
              <w:rPr>
                <w:sz w:val="20"/>
                <w:szCs w:val="20"/>
              </w:rPr>
              <w:t xml:space="preserve">Budget Realism</w:t>
            </w:r>
          </w:p>
        </w:tc>
        <w:tc>
          <w:tcPr>
            <w:tcW w:type="dxa" w:w="14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700"/>
            <w:shd w:fill="F4F6FC" w:val="clea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b/>
          <w:bCs/>
          <w:color w:val="1E2761"/>
        </w:rPr>
        <w:t xml:space="preserve">Facilitator Debrief Prompts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did primary and secondary reviewers diverge most, and why?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criterion (e.g., Approach vs. Ethics &amp; Human-Subjects) drove the biggest score spread across panels?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Did any panel treat a 'critical but fixable' issue as if it were structural, or vice versa?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Ask each participant to name one specific change they will make to their own in-progress proposal as a result of serving as a reviewer.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172"/>
        <w:sz w:val="16"/>
        <w:szCs w:val="16"/>
      </w:rPr>
      <w:t xml:space="preserve">Session 8 Exercise Materials — Page </w:t>
    </w:r>
    <w:r>
      <w:rPr>
        <w:color w:val="5B61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172"/>
        <w:sz w:val="16"/>
        <w:szCs w:val="16"/>
      </w:rPr>
      <w:t xml:space="preserve">Grant Writing &amp; Management for Health Researchers — Addis Ababa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2026-08-28T13:21:06.978Z</dcterms:created>
  <dcterms:modified xsi:type="dcterms:W3CDTF">2026-08-28T13:21:06.992Z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