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86FB" w14:textId="77777777" w:rsidR="0063204D" w:rsidRPr="0063204D" w:rsidRDefault="0063204D" w:rsidP="0063204D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3204D">
        <w:rPr>
          <w:rFonts w:ascii="Calibri" w:hAnsi="Calibri" w:cs="Calibri"/>
          <w:b/>
          <w:color w:val="000000" w:themeColor="text1"/>
          <w:sz w:val="24"/>
          <w:szCs w:val="24"/>
        </w:rPr>
        <w:t>SESSION 3 PRACTICAL EXERCISE</w:t>
      </w:r>
    </w:p>
    <w:p w14:paraId="245D0C99" w14:textId="77777777" w:rsidR="0063204D" w:rsidRPr="0063204D" w:rsidRDefault="0063204D" w:rsidP="0063204D">
      <w:pPr>
        <w:pStyle w:val="Heading1"/>
        <w:rPr>
          <w:rFonts w:ascii="Calibri" w:hAnsi="Calibri" w:cs="Calibri"/>
          <w:color w:val="000000" w:themeColor="text1"/>
          <w:sz w:val="24"/>
          <w:szCs w:val="24"/>
        </w:rPr>
      </w:pPr>
      <w:r w:rsidRPr="0063204D">
        <w:rPr>
          <w:rFonts w:ascii="Calibri" w:hAnsi="Calibri" w:cs="Calibri"/>
          <w:color w:val="000000" w:themeColor="text1"/>
          <w:sz w:val="24"/>
          <w:szCs w:val="24"/>
        </w:rPr>
        <w:t>Partnership Negotiation Role-Play</w:t>
      </w:r>
    </w:p>
    <w:p w14:paraId="20B91304" w14:textId="77777777" w:rsidR="0063204D" w:rsidRPr="0063204D" w:rsidRDefault="0063204D" w:rsidP="0063204D">
      <w:pPr>
        <w:spacing w:after="160"/>
        <w:rPr>
          <w:rFonts w:ascii="Calibri" w:hAnsi="Calibri" w:cs="Calibri"/>
          <w:color w:val="000000" w:themeColor="text1"/>
          <w:sz w:val="24"/>
          <w:szCs w:val="24"/>
        </w:rPr>
      </w:pPr>
      <w:r w:rsidRPr="0063204D">
        <w:rPr>
          <w:rFonts w:ascii="Calibri" w:hAnsi="Calibri" w:cs="Calibri"/>
          <w:b/>
          <w:color w:val="000000" w:themeColor="text1"/>
          <w:sz w:val="24"/>
          <w:szCs w:val="24"/>
        </w:rPr>
        <w:t>Role-play and negotiation • 4–5 participants • 30 minutes</w:t>
      </w:r>
    </w:p>
    <w:p w14:paraId="771B343A" w14:textId="77777777" w:rsidR="0063204D" w:rsidRPr="0063204D" w:rsidRDefault="0063204D" w:rsidP="0063204D">
      <w:pPr>
        <w:pStyle w:val="Heading2"/>
        <w:rPr>
          <w:rFonts w:ascii="Calibri" w:hAnsi="Calibri" w:cs="Calibri"/>
          <w:color w:val="000000" w:themeColor="text1"/>
          <w:sz w:val="24"/>
          <w:szCs w:val="24"/>
        </w:rPr>
      </w:pPr>
      <w:r w:rsidRPr="0063204D">
        <w:rPr>
          <w:rFonts w:ascii="Calibri" w:hAnsi="Calibri" w:cs="Calibri"/>
          <w:color w:val="000000" w:themeColor="text1"/>
          <w:sz w:val="24"/>
          <w:szCs w:val="24"/>
        </w:rPr>
        <w:t>Purpose</w:t>
      </w:r>
    </w:p>
    <w:p w14:paraId="69AF829D" w14:textId="77777777" w:rsidR="0063204D" w:rsidRPr="0063204D" w:rsidRDefault="0063204D" w:rsidP="0063204D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3204D">
        <w:rPr>
          <w:rFonts w:ascii="Calibri" w:hAnsi="Calibri" w:cs="Calibri"/>
          <w:color w:val="000000" w:themeColor="text1"/>
          <w:sz w:val="24"/>
          <w:szCs w:val="24"/>
        </w:rPr>
        <w:t>To distinguish short-term sponsorship from a strategic partnership and design a relationship based on complementary value, shared governance, trust and sustainable results.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360"/>
      </w:tblGrid>
      <w:tr w:rsidR="0063204D" w:rsidRPr="0063204D" w14:paraId="0B3EA743" w14:textId="77777777" w:rsidTr="007C7BD3">
        <w:trPr>
          <w:jc w:val="center"/>
        </w:trPr>
        <w:tc>
          <w:tcPr>
            <w:tcW w:w="9360" w:type="dxa"/>
            <w:shd w:val="clear" w:color="auto" w:fill="FFFFFF" w:themeFill="background1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D32B075" w14:textId="77777777" w:rsidR="0063204D" w:rsidRPr="0063204D" w:rsidRDefault="0063204D" w:rsidP="007C7BD3">
            <w:pPr>
              <w:spacing w:after="0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Scenario</w:t>
            </w:r>
          </w:p>
          <w:p w14:paraId="6CA82FCC" w14:textId="07C13DF4" w:rsidR="0063204D" w:rsidRPr="0063204D" w:rsidRDefault="0063204D" w:rsidP="007C7BD3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An applicant organization needs resources and complementary expertise to expand a locally led health service-improvement initiative</w:t>
            </w:r>
            <w:r w:rsidR="00B41084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for </w:t>
            </w:r>
            <w:r w:rsidR="009B497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integration of </w:t>
            </w:r>
            <w:r w:rsidR="00BA19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AI-enabled </w:t>
            </w:r>
            <w:r w:rsidR="009B497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cardiovascular diseases early screening and seamless referral </w:t>
            </w:r>
            <w:r w:rsidR="003A195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pathway</w:t>
            </w:r>
            <w:r w:rsidR="00BA19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in primary healthcare</w:t>
            </w:r>
            <w:r w:rsidR="003A195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system</w:t>
            </w:r>
            <w:r w:rsidR="00BA19B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in Ethiopia</w:t>
            </w:r>
            <w:r w:rsidRPr="0063204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. A potential donor </w:t>
            </w:r>
            <w:proofErr w:type="gramStart"/>
            <w:r w:rsidR="00A43D8F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want</w:t>
            </w:r>
            <w:proofErr w:type="gramEnd"/>
            <w:r w:rsidR="00A43D8F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to</w:t>
            </w:r>
            <w:r w:rsidRPr="0063204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provide short-term financial support</w:t>
            </w:r>
            <w:r w:rsidR="00A43D8F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(12 months)</w:t>
            </w:r>
            <w:r w:rsidRPr="0063204D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; a technical organization offers specialist expertise; a public institution controls system access; and community representatives want meaningful influence over design and accountability.</w:t>
            </w:r>
          </w:p>
        </w:tc>
      </w:tr>
    </w:tbl>
    <w:p w14:paraId="7DA37C71" w14:textId="77777777" w:rsidR="0063204D" w:rsidRPr="0063204D" w:rsidRDefault="0063204D" w:rsidP="0063204D">
      <w:pPr>
        <w:pStyle w:val="Heading2"/>
        <w:rPr>
          <w:rFonts w:ascii="Calibri" w:hAnsi="Calibri" w:cs="Calibri"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>Instructions</w:t>
      </w:r>
    </w:p>
    <w:p w14:paraId="03EA09B8" w14:textId="77777777" w:rsidR="0063204D" w:rsidRPr="0063204D" w:rsidRDefault="0063204D" w:rsidP="0063204D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>Draw role cards: applicant lead, donor representative, technical partner, public-sector decision-maker and community representative. Each person privately writes one priority and one non-negotiable condition.</w:t>
      </w:r>
    </w:p>
    <w:p w14:paraId="44838553" w14:textId="77777777" w:rsidR="0063204D" w:rsidRPr="0063204D" w:rsidRDefault="0063204D" w:rsidP="0063204D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>Conduct a five-minute first negotiation. The applicant proposes a sponsorship arrangement; the others may accept, reject or request changes.</w:t>
      </w:r>
    </w:p>
    <w:p w14:paraId="049EA4D0" w14:textId="77777777" w:rsidR="0063204D" w:rsidRPr="0063204D" w:rsidRDefault="0063204D" w:rsidP="0063204D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>Pause and diagnose the relationship: is it transactional sponsorship, a strategic partnership, or a possible pathway between them?</w:t>
      </w:r>
    </w:p>
    <w:p w14:paraId="55256301" w14:textId="77777777" w:rsidR="0063204D" w:rsidRPr="0063204D" w:rsidRDefault="0063204D" w:rsidP="0063204D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>Renegotiate as a strategic partnership by agreeing on shared outcomes, contributions, decision rights, accountability, visibility, data ownership and continuation after funding.</w:t>
      </w:r>
    </w:p>
    <w:p w14:paraId="1653F3FC" w14:textId="77777777" w:rsidR="0063204D" w:rsidRPr="0063204D" w:rsidRDefault="0063204D" w:rsidP="0063204D">
      <w:pPr>
        <w:pStyle w:val="ListNumber"/>
        <w:tabs>
          <w:tab w:val="num" w:pos="360"/>
        </w:tabs>
        <w:spacing w:after="60"/>
        <w:ind w:left="360" w:hanging="360"/>
        <w:rPr>
          <w:rFonts w:ascii="Calibri" w:hAnsi="Calibri" w:cs="Calibri"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>Complete the value map and risk register, then give a 60-second joint statement explaining what changed between the two negotiations.</w:t>
      </w:r>
    </w:p>
    <w:p w14:paraId="2DC3BD20" w14:textId="77777777" w:rsidR="0063204D" w:rsidRPr="0063204D" w:rsidRDefault="0063204D" w:rsidP="0063204D">
      <w:pPr>
        <w:spacing w:after="200" w:line="276" w:lineRule="auto"/>
        <w:rPr>
          <w:rFonts w:ascii="Calibri" w:hAnsi="Calibri" w:cs="Calibri"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 xml:space="preserve">     Distinction to apply</w:t>
      </w:r>
    </w:p>
    <w:p w14:paraId="44A1DEC8" w14:textId="77777777" w:rsidR="00BE7F8D" w:rsidRDefault="00BE7F8D">
      <w:pPr>
        <w:spacing w:after="160" w:line="278" w:lineRule="auto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br w:type="page"/>
      </w:r>
    </w:p>
    <w:p w14:paraId="46FB588A" w14:textId="0BE0A836" w:rsidR="0063204D" w:rsidRPr="00B36416" w:rsidRDefault="0063204D" w:rsidP="0063204D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B36416">
        <w:rPr>
          <w:rFonts w:ascii="Calibri" w:hAnsi="Calibri" w:cs="Calibri"/>
          <w:b/>
          <w:bCs/>
          <w:color w:val="000000" w:themeColor="text1"/>
          <w:sz w:val="24"/>
          <w:szCs w:val="24"/>
        </w:rPr>
        <w:lastRenderedPageBreak/>
        <w:t>Worksheet 3A — Partnership design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0"/>
        <w:gridCol w:w="2550"/>
        <w:gridCol w:w="2550"/>
        <w:gridCol w:w="3118"/>
      </w:tblGrid>
      <w:tr w:rsidR="0063204D" w:rsidRPr="0063204D" w14:paraId="691E54B7" w14:textId="77777777" w:rsidTr="00B36416">
        <w:trPr>
          <w:jc w:val="center"/>
        </w:trPr>
        <w:tc>
          <w:tcPr>
            <w:tcW w:w="17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80721C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Stakeholder</w:t>
            </w: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A67D0D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Contribution</w:t>
            </w: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18569B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Value received</w:t>
            </w:r>
          </w:p>
        </w:tc>
        <w:tc>
          <w:tcPr>
            <w:tcW w:w="31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BF4DF3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Risk or concern</w:t>
            </w:r>
          </w:p>
        </w:tc>
      </w:tr>
      <w:tr w:rsidR="0063204D" w:rsidRPr="0063204D" w14:paraId="2EB6940C" w14:textId="77777777" w:rsidTr="00B36416">
        <w:trPr>
          <w:jc w:val="center"/>
        </w:trPr>
        <w:tc>
          <w:tcPr>
            <w:tcW w:w="17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A4F0FB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Applicant organization</w:t>
            </w: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BDBABB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B160D7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DCE7D4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6DC3F419" w14:textId="77777777" w:rsidTr="00B36416">
        <w:trPr>
          <w:jc w:val="center"/>
        </w:trPr>
        <w:tc>
          <w:tcPr>
            <w:tcW w:w="17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5A56A5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Donor representative</w:t>
            </w: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BAB9F3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7CA073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2461AC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56FF69F9" w14:textId="77777777" w:rsidTr="00B36416">
        <w:trPr>
          <w:jc w:val="center"/>
        </w:trPr>
        <w:tc>
          <w:tcPr>
            <w:tcW w:w="17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786396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Technical partner</w:t>
            </w: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9138C0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3AEDA0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BADEB9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54893F05" w14:textId="77777777" w:rsidTr="00B36416">
        <w:trPr>
          <w:jc w:val="center"/>
        </w:trPr>
        <w:tc>
          <w:tcPr>
            <w:tcW w:w="17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915E95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Public institution</w:t>
            </w: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E64DE7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474D3D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6B1174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3F921DD8" w14:textId="77777777" w:rsidTr="00B36416">
        <w:trPr>
          <w:jc w:val="center"/>
        </w:trPr>
        <w:tc>
          <w:tcPr>
            <w:tcW w:w="170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437F47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Community representative</w:t>
            </w: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76A62E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D1EEF3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C8E1FB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D1763F3" w14:textId="1A3EDB2D" w:rsidR="0063204D" w:rsidRPr="0063204D" w:rsidRDefault="0063204D" w:rsidP="0063204D">
      <w:pPr>
        <w:spacing w:after="200" w:line="276" w:lineRule="auto"/>
        <w:rPr>
          <w:rFonts w:ascii="Calibri" w:eastAsiaTheme="majorEastAsia" w:hAnsi="Calibri" w:cs="Calibri"/>
          <w:bCs/>
          <w:color w:val="222222"/>
          <w:sz w:val="24"/>
          <w:szCs w:val="24"/>
        </w:rPr>
      </w:pPr>
    </w:p>
    <w:p w14:paraId="256233B3" w14:textId="77777777" w:rsidR="0063204D" w:rsidRPr="00E67689" w:rsidRDefault="0063204D" w:rsidP="0063204D">
      <w:pPr>
        <w:pStyle w:val="Heading2"/>
        <w:rPr>
          <w:rFonts w:ascii="Calibri" w:hAnsi="Calibri" w:cs="Calibri"/>
          <w:b/>
          <w:bCs/>
          <w:sz w:val="24"/>
          <w:szCs w:val="24"/>
        </w:rPr>
      </w:pPr>
      <w:r w:rsidRPr="0063204D">
        <w:rPr>
          <w:rFonts w:ascii="Calibri" w:hAnsi="Calibri" w:cs="Calibri"/>
          <w:color w:val="222222"/>
          <w:sz w:val="24"/>
          <w:szCs w:val="24"/>
        </w:rPr>
        <w:t xml:space="preserve">     </w:t>
      </w:r>
      <w:r w:rsidRPr="00E67689">
        <w:rPr>
          <w:rFonts w:ascii="Calibri" w:hAnsi="Calibri" w:cs="Calibri"/>
          <w:b/>
          <w:bCs/>
          <w:color w:val="222222"/>
          <w:sz w:val="24"/>
          <w:szCs w:val="24"/>
        </w:rPr>
        <w:t>Twelve-month engagement pathway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689"/>
        <w:gridCol w:w="3371"/>
        <w:gridCol w:w="3574"/>
      </w:tblGrid>
      <w:tr w:rsidR="0063204D" w:rsidRPr="0063204D" w14:paraId="5DDC5AA8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662C60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Stage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C12A41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Key action</w:t>
            </w: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ECF1D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3204D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Evidence of progress</w:t>
            </w:r>
          </w:p>
        </w:tc>
      </w:tr>
      <w:tr w:rsidR="0063204D" w:rsidRPr="0063204D" w14:paraId="1634644F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8ED80A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1. Preparation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02DEE3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2D697C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2DB0E874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F8EF41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2. Initial engagement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FF9888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8B866E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4B2CD261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D27058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3. Joint problem definition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2CE7BE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31C99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62E8AA64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8FB7F2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4. Due diligence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90772F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392FB9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63037DE5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DA489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5. Co-design and agreement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FDC5F4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A00599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21AD623F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01A6B1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6. Delivery and learning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648861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D0ADEE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3204D" w:rsidRPr="0063204D" w14:paraId="1CFEFBEB" w14:textId="77777777" w:rsidTr="00B36416">
        <w:trPr>
          <w:jc w:val="center"/>
        </w:trPr>
        <w:tc>
          <w:tcPr>
            <w:tcW w:w="2689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9EDC1D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  <w:r w:rsidRPr="0063204D">
              <w:rPr>
                <w:rFonts w:ascii="Calibri" w:hAnsi="Calibri" w:cs="Calibri"/>
                <w:color w:val="222222"/>
                <w:sz w:val="24"/>
                <w:szCs w:val="24"/>
              </w:rPr>
              <w:t>7. Renewal or scale-up</w:t>
            </w:r>
          </w:p>
        </w:tc>
        <w:tc>
          <w:tcPr>
            <w:tcW w:w="3371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6EF41D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74" w:type="dxa"/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97E37C" w14:textId="77777777" w:rsidR="0063204D" w:rsidRPr="0063204D" w:rsidRDefault="0063204D" w:rsidP="007C7BD3">
            <w:pPr>
              <w:spacing w:after="0" w:line="252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17BEA63" w14:textId="77777777" w:rsidR="001C27AE" w:rsidRPr="0063204D" w:rsidRDefault="001C27AE" w:rsidP="009B344C">
      <w:pPr>
        <w:rPr>
          <w:rFonts w:ascii="Calibri" w:hAnsi="Calibri" w:cs="Calibri"/>
          <w:sz w:val="24"/>
          <w:szCs w:val="24"/>
        </w:rPr>
      </w:pPr>
    </w:p>
    <w:sectPr w:rsidR="001C27AE" w:rsidRPr="00632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D6850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2704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CBE"/>
    <w:rsid w:val="001C27AE"/>
    <w:rsid w:val="003A1952"/>
    <w:rsid w:val="004A59DB"/>
    <w:rsid w:val="0063204D"/>
    <w:rsid w:val="009B344C"/>
    <w:rsid w:val="009B497D"/>
    <w:rsid w:val="00A43D8F"/>
    <w:rsid w:val="00B36416"/>
    <w:rsid w:val="00B41084"/>
    <w:rsid w:val="00BA19BC"/>
    <w:rsid w:val="00BE7F8D"/>
    <w:rsid w:val="00DA7CBE"/>
    <w:rsid w:val="00E17806"/>
    <w:rsid w:val="00E67689"/>
    <w:rsid w:val="00E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F11C3"/>
  <w15:chartTrackingRefBased/>
  <w15:docId w15:val="{F231F563-CC11-48EE-9A3B-85F02E0C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04D"/>
    <w:pPr>
      <w:spacing w:after="100" w:line="269" w:lineRule="auto"/>
    </w:pPr>
    <w:rPr>
      <w:rFonts w:ascii="Aptos" w:eastAsiaTheme="minorEastAsia" w:hAnsi="Aptos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7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C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C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C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A7C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C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C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C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C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C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C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C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C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C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C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C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CBE"/>
    <w:rPr>
      <w:b/>
      <w:bCs/>
      <w:smallCaps/>
      <w:color w:val="2F5496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63204D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Minyahil Tadesse Boltena</dc:creator>
  <cp:keywords/>
  <dc:description/>
  <cp:lastModifiedBy>Minyahil Tadesse Boltena</cp:lastModifiedBy>
  <cp:revision>20</cp:revision>
  <dcterms:created xsi:type="dcterms:W3CDTF">2026-09-02T02:16:00Z</dcterms:created>
  <dcterms:modified xsi:type="dcterms:W3CDTF">2026-09-02T02:22:00Z</dcterms:modified>
</cp:coreProperties>
</file>